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91C13BD" wp14:paraId="4D3C2247" wp14:textId="55507406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D9BB456">
        <w:drawing>
          <wp:inline xmlns:wp14="http://schemas.microsoft.com/office/word/2010/wordprocessingDrawing" wp14:editId="6F9DCFBA" wp14:anchorId="19AFCB87">
            <wp:extent cx="3943350" cy="828675"/>
            <wp:effectExtent l="0" t="0" r="0" b="0"/>
            <wp:docPr id="437989197" name="drawing" title="Picture, 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7989197" name="Picture 437989197"/>
                    <pic:cNvPicPr/>
                  </pic:nvPicPr>
                  <pic:blipFill>
                    <a:blip xmlns:r="http://schemas.openxmlformats.org/officeDocument/2006/relationships" r:embed="rId6413642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1C13BD" wp14:paraId="325692CB" wp14:textId="61299F7A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91C13BD" wp14:paraId="34C878BE" wp14:textId="71B31551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1C13BD" w:rsidR="4D9BB4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Howard </w:t>
      </w:r>
      <w:r w:rsidRPr="291C13BD" w:rsidR="4D9BB4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County  Housing</w:t>
      </w:r>
      <w:r w:rsidRPr="291C13BD" w:rsidR="4D9BB4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Committee **MEETING MINUTES**</w:t>
      </w:r>
    </w:p>
    <w:p xmlns:wp14="http://schemas.microsoft.com/office/word/2010/wordml" w:rsidP="6C442904" wp14:paraId="7353C964" wp14:noSpellErr="1" wp14:textId="3C51327A">
      <w:pPr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442904" w:rsidR="4D9BB4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 September 11th, 2025  at 3:00pm via ZOOM</w:t>
      </w:r>
    </w:p>
    <w:p xmlns:wp14="http://schemas.microsoft.com/office/word/2010/wordml" w:rsidP="6C442904" wp14:paraId="6A74CA52" wp14:textId="43B9F477">
      <w:pPr>
        <w:spacing w:before="240" w:beforeAutospacing="off" w:after="240" w:afterAutospacing="off"/>
      </w:pPr>
      <w:r w:rsidRPr="6C442904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Attendees (by name):</w:t>
      </w:r>
      <w:r w:rsidRPr="6C442904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Ahmna Khan, Tim Wiens, Peter Engel, Alexandra (Alex) Hoffman, Daniel (Dan) Atzmon, Tori/Tory Graves, Andy Krauss, Sarah Hochbaum, Erin Ashinghurst, Nikki Savoy, Dorothy Plantz, Mark Dunham, Patrick Lloyd, Matthew Clance, Diane Dressler.</w:t>
      </w:r>
      <w:r>
        <w:br/>
      </w:r>
      <w:r w:rsidRPr="6C442904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442904" w:rsidR="4D9BB45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(Note: Some participants were audio-only and may not be fully captured by name.)</w:t>
      </w:r>
    </w:p>
    <w:p xmlns:wp14="http://schemas.microsoft.com/office/word/2010/wordml" w:rsidP="2A6833C2" wp14:paraId="45991180" wp14:textId="1442051B" wp14:noSpellErr="1">
      <w:pPr>
        <w:rPr>
          <w:color w:val="auto"/>
        </w:rPr>
      </w:pPr>
    </w:p>
    <w:p xmlns:wp14="http://schemas.microsoft.com/office/word/2010/wordml" w:rsidP="2A6833C2" wp14:paraId="2EE682D3" wp14:noSpellErr="1" wp14:textId="12AB19B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1) Welcome</w:t>
      </w:r>
      <w:r w:rsidRPr="2A6833C2" w:rsidR="39E62A4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/Minutes Review: Ahmna Khan</w:t>
      </w:r>
    </w:p>
    <w:p xmlns:wp14="http://schemas.microsoft.com/office/word/2010/wordml" w:rsidP="6C442904" wp14:paraId="711CEC4C" wp14:noSpellErr="1" wp14:textId="412DF96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Quick round-robin introductions were completed so Enterprise could place names 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to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roles and organizations.</w:t>
      </w:r>
    </w:p>
    <w:p xmlns:wp14="http://schemas.microsoft.com/office/word/2010/wordml" w:rsidP="6C442904" wp14:paraId="4BB7C864" wp14:noSpellErr="1" wp14:textId="2C141D7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No objections or edits were raised</w:t>
      </w:r>
      <w:r w:rsidRPr="2A6833C2" w:rsidR="04D62D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July Minutes.</w:t>
      </w:r>
    </w:p>
    <w:p xmlns:wp14="http://schemas.microsoft.com/office/word/2010/wordml" w:rsidP="2A6833C2" wp14:paraId="5269CB9E" wp14:noSpellErr="1" wp14:textId="675DD134">
      <w:pPr>
        <w:pStyle w:val="Heading2"/>
        <w:spacing w:before="299" w:beforeAutospacing="off" w:after="299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  <w:r w:rsidRPr="2A6833C2" w:rsidR="04D62D0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>2.)</w:t>
      </w:r>
      <w:r w:rsidRPr="2A6833C2" w:rsidR="4D9BB45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  <w:t xml:space="preserve"> Enterprise Portfolio / Resident Services (Dan Atzmon; Alex Hoffman)</w:t>
      </w:r>
    </w:p>
    <w:p w:rsidR="014B540C" w:rsidP="2A6833C2" w:rsidRDefault="014B540C" w14:paraId="202D7506" w14:textId="5A3216A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lang w:val="en-US"/>
        </w:rPr>
      </w:pPr>
      <w:r w:rsidRPr="2A6833C2" w:rsidR="014B540C">
        <w:rPr>
          <w:noProof w:val="0"/>
          <w:lang w:val="en-US"/>
        </w:rPr>
        <w:t>The Enterprise presenters introduced themselves as</w:t>
      </w:r>
      <w:r w:rsidRPr="2A6833C2" w:rsidR="014B540C">
        <w:rPr>
          <w:b w:val="0"/>
          <w:bCs w:val="0"/>
          <w:noProof w:val="0"/>
          <w:lang w:val="en-US"/>
        </w:rPr>
        <w:t xml:space="preserve"> </w:t>
      </w:r>
      <w:r w:rsidRPr="2A6833C2" w:rsidR="014B540C">
        <w:rPr>
          <w:b w:val="0"/>
          <w:bCs w:val="0"/>
          <w:noProof w:val="0"/>
          <w:lang w:val="en-US"/>
        </w:rPr>
        <w:t>Tori Graves, Director of Resident Experience; Alexandra Hoffman, Development Manager; and Daniel Atzmon, Associate Director for Resident Experience overseeing resident services for Howard County properties.</w:t>
      </w:r>
    </w:p>
    <w:p xmlns:wp14="http://schemas.microsoft.com/office/word/2010/wordml" w:rsidP="6C442904" wp14:paraId="75F1F45C" wp14:noSpellErr="1" wp14:textId="673EE0A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Enterprise was founded in 1982 by Jim Rouse and now builds, preserves, and 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operates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affordable housing across the Mid-Atlantic, with ~21,000 homes regionwide and more than 1,000 apartments across 15 communities in Howard County.</w:t>
      </w:r>
    </w:p>
    <w:p xmlns:wp14="http://schemas.microsoft.com/office/word/2010/wordml" w:rsidP="6C442904" wp14:paraId="7DFB710A" wp14:noSpellErr="1" wp14:textId="38A5971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The Community Homes Housing, Inc. (CHHI) portfolio in downtown Columbia is being comprehensively redeveloped; Legacy at Twin Rivers (formerly Roslyn Rise) was completed in 2024.</w:t>
      </w:r>
    </w:p>
    <w:p xmlns:wp14="http://schemas.microsoft.com/office/word/2010/wordml" w:rsidP="6C442904" wp14:paraId="5FB238C8" wp14:noSpellErr="1" wp14:textId="4D4CF03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Pipeline and status:</w:t>
      </w:r>
    </w:p>
    <w:p xmlns:wp14="http://schemas.microsoft.com/office/word/2010/wordml" w:rsidP="6C442904" wp14:paraId="379364D7" wp14:noSpellErr="1" wp14:textId="6CB5815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Rand(le)y Court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: under construction; delivery targeted for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summer 2026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(standalone 4% LIHTC).</w:t>
      </w:r>
    </w:p>
    <w:p xmlns:wp14="http://schemas.microsoft.com/office/word/2010/wordml" w:rsidP="6C442904" wp14:paraId="38B0F19A" wp14:noSpellErr="1" wp14:textId="74379326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Waverly Winds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: under construction; twin transaction; delivery targeted for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summer 2026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xmlns:wp14="http://schemas.microsoft.com/office/word/2010/wordml" w:rsidP="6C442904" wp14:paraId="1682B95D" wp14:noSpellErr="1" wp14:textId="54B0E25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Fall River Terrace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: in entitlements with an existing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9% LIHTC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allocation; includes an amenity mix with on-site resident services spaces, community room, fitness room, business center, package room, indoor secure bike parking, and outdoor recreation areas.</w:t>
      </w:r>
    </w:p>
    <w:p xmlns:wp14="http://schemas.microsoft.com/office/word/2010/wordml" w:rsidP="6C442904" wp14:paraId="48BD8A26" wp14:noSpellErr="1" wp14:textId="3BADCFFC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Rideout Heath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: 9% LIHTC application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submitted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in the current round; this is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anticipated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to be the largest phase (twin transaction structure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similar to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earlier phases).</w:t>
      </w:r>
    </w:p>
    <w:p xmlns:wp14="http://schemas.microsoft.com/office/word/2010/wordml" w:rsidP="6C442904" wp14:paraId="0CF8AF64" wp14:noSpellErr="1" wp14:textId="69F830F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Rehab-to-rebuild scope: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existing late-1960s/early-1970s walk-up buildings (pre-redevelopment: ~300 units) will be replaced by primarily four-story elevator buildings (post-redevelopment: ~600 units), with in-unit laundry, ADA/UFAS accessibility, and dedicated spaces for resident services and property management.</w:t>
      </w:r>
    </w:p>
    <w:p xmlns:wp14="http://schemas.microsoft.com/office/word/2010/wordml" w:rsidP="6C442904" wp14:paraId="59287A8D" wp14:noSpellErr="1" wp14:textId="370BE5D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Income mix goal: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 each site, Enterprise aims for a balanced mix of 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roughly one-third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HAP/public 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units (including 30% AMI), one-third “unassisted affordable”/workforce units (e.g., 60–80% AMI), and one-third market-rate units.</w:t>
      </w:r>
    </w:p>
    <w:p xmlns:wp14="http://schemas.microsoft.com/office/word/2010/wordml" w:rsidP="6C442904" wp14:paraId="284A7457" wp14:noSpellErr="1" wp14:textId="1872910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Set-asides and accessibility: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Fall River Terrace will include </w:t>
      </w: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 units set aside for persons with disabilities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; some overlap with UFAS units is expected, and four-bedroom unit needs are replaced on a one-for-one basis.</w:t>
      </w:r>
    </w:p>
    <w:p xmlns:wp14="http://schemas.microsoft.com/office/word/2010/wordml" w:rsidP="6C442904" wp14:paraId="15B095C0" wp14:noSpellErr="1" wp14:textId="72FAC66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Resident engagement: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Because of temporary relocation, Enterprise is engaging current residents in the amenities and program design (e.g., age-appropriate playgrounds, equipment selection, game room preferences, outdoor recreation features).</w:t>
      </w:r>
    </w:p>
    <w:p xmlns:wp14="http://schemas.microsoft.com/office/word/2010/wordml" w:rsidP="2A6833C2" wp14:paraId="201882F9" wp14:noSpellErr="1" wp14:textId="1EC3DB0B">
      <w:pPr>
        <w:pStyle w:val="Normal"/>
        <w:spacing w:before="240" w:beforeAutospacing="off" w:after="240" w:afterAutospacing="off"/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Resident Services framework (Tori; Dan):</w:t>
      </w:r>
    </w:p>
    <w:p xmlns:wp14="http://schemas.microsoft.com/office/word/2010/wordml" w:rsidP="6C442904" wp14:paraId="45804E69" wp14:noSpellErr="1" wp14:textId="750E90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Enterprise has updated its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Resident Experience vision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, centering resident voice and “self-defined paths” to economic security and well-being.</w:t>
      </w:r>
    </w:p>
    <w:p xmlns:wp14="http://schemas.microsoft.com/office/word/2010/wordml" w:rsidP="6C442904" wp14:paraId="3014104D" wp14:noSpellErr="1" wp14:textId="78E69D9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Services align to four priority pillars: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Community Building &amp; Engagement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(incl. volunteer programs and civic engagement),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Economic Security &amp; Mobility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(workforce development, benefit screenings, rental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assistance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),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Education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(after-school, digital literacy/access), and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Health &amp; Wellness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(food security, aging well).</w:t>
      </w:r>
    </w:p>
    <w:p xmlns:wp14="http://schemas.microsoft.com/office/word/2010/wordml" w:rsidP="2A6833C2" wp14:paraId="09E9ACDC" wp14:noSpellErr="1" wp14:textId="2F0AE3B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Recent highlights:</w:t>
      </w:r>
    </w:p>
    <w:p xmlns:wp14="http://schemas.microsoft.com/office/word/2010/wordml" w:rsidP="6C442904" wp14:paraId="30BF919F" wp14:noSpellErr="1" wp14:textId="12B1A2F3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Hundreds of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Chromebooks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were distributed in Howard County through county partnerships.</w:t>
      </w:r>
    </w:p>
    <w:p xmlns:wp14="http://schemas.microsoft.com/office/word/2010/wordml" w:rsidP="6C442904" wp14:paraId="1337833F" wp14:noSpellErr="1" wp14:textId="1FAE122F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An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after-school program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is planned in the homework room at Legacy at Twin Rivers, with a similar space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anticipated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at Fall River Terrace in collaboration with the Howard County Public School System.</w:t>
      </w:r>
    </w:p>
    <w:p xmlns:wp14="http://schemas.microsoft.com/office/word/2010/wordml" w:rsidP="6C442904" wp14:paraId="57E3266B" wp14:noSpellErr="1" wp14:textId="418AF0F3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Partnerships include Community Action Council, Roving Radish, and the Office on Aging &amp; Independence (e.g., home modifications, fall-risk assessments, and linkages to services).</w:t>
      </w:r>
    </w:p>
    <w:p xmlns:wp14="http://schemas.microsoft.com/office/word/2010/wordml" w:rsidP="6C442904" wp14:paraId="322909A7" wp14:noSpellErr="1" wp14:textId="42629A5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Approach to disability needs: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Enterprise’s services are individualized and not “cookie-cutter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”;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staff and partners meet residents where they are. While physical features fall under development/design, the resident services team coordinates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supports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will consult specialists (e.g., CILs, universities, internal DEI experts) when needs arise.</w:t>
      </w:r>
    </w:p>
    <w:p xmlns:wp14="http://schemas.microsoft.com/office/word/2010/wordml" w:rsidP="2A6833C2" wp14:paraId="7763A0B8" wp14:noSpellErr="1" wp14:textId="7AEF06FA">
      <w:pPr>
        <w:pStyle w:val="Normal"/>
        <w:spacing w:before="240" w:beforeAutospacing="off" w:after="240" w:afterAutospacing="off"/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Q&amp;A and discussion:</w:t>
      </w:r>
    </w:p>
    <w:p xmlns:wp14="http://schemas.microsoft.com/office/word/2010/wordml" w:rsidP="6C442904" wp14:paraId="6C74AC51" wp14:noSpellErr="1" wp14:textId="6A0C0B3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Tim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asked about accommodations for residents with IDD and disability set-asides. Alex confirmed disability set-asides at Fall River Terrace (10 units) and explained overlap with UFAS units; there are also disability-designated units without physical modifications.</w:t>
      </w:r>
    </w:p>
    <w:p xmlns:wp14="http://schemas.microsoft.com/office/word/2010/wordml" w:rsidP="6C442904" wp14:paraId="209E816E" wp14:noSpellErr="1" wp14:textId="67DB51B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Mark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described Patuxent Commons’ evaluation plans (with Johns Hopkins) and asked about incorporating residents with IDD into well-being metrics; Tori and Dan emphasized individualized evaluation and a commitment to elevate the resident voice, with willingness to collaborate and share materials.</w:t>
      </w:r>
    </w:p>
    <w:p xmlns:wp14="http://schemas.microsoft.com/office/word/2010/wordml" w:rsidP="6C442904" wp14:paraId="0E3E9DF2" wp14:noSpellErr="1" wp14:textId="1845424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Nikki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asked about disability set-asides at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Legacy at Twin Rivers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current leasing; Alex confirmed Legacy’s disability set-asides and noted one available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market-rate 3BR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at the time of the meeting, encouraging waitlist engagement.</w:t>
      </w:r>
    </w:p>
    <w:p xmlns:wp14="http://schemas.microsoft.com/office/word/2010/wordml" w:rsidP="6C442904" wp14:paraId="7C47CEFF" wp14:noSpellErr="1" wp14:textId="4FF043F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Applications and waitlists: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Enterprise has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not yet opened the Waverly Winds waitlist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; they will notify this group prior to lease-up. Applicants can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indicate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if they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need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assistance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during the application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process, and Enterprise urged checking that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box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so support can be provided.</w:t>
      </w:r>
    </w:p>
    <w:p xmlns:wp14="http://schemas.microsoft.com/office/word/2010/wordml" w:rsidP="2A6833C2" wp14:paraId="3D46A7B3" wp14:noSpellErr="1" wp14:textId="0507ADE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auto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4) House Howard Updates</w:t>
      </w:r>
      <w:r w:rsidRPr="2A6833C2" w:rsidR="26CD31ED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 xml:space="preserve"> –</w:t>
      </w:r>
      <w:r w:rsidRPr="2A6833C2" w:rsidR="26CD31ED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  <w:r w:rsidRPr="2A6833C2" w:rsidR="26CD31ED">
        <w:rPr>
          <w:rFonts w:ascii="Aptos" w:hAnsi="Aptos" w:eastAsia="Aptos" w:cs="Aptos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  <w:t>Peter Engel, Executive Director, House Howard</w:t>
      </w:r>
    </w:p>
    <w:p xmlns:wp14="http://schemas.microsoft.com/office/word/2010/wordml" w:rsidP="6C442904" wp14:paraId="78062A8A" wp14:noSpellErr="1" wp14:textId="1967934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Marlow UFAS retrofits: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Six apartments at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Marlow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were retrofitted with support from the Columbia Downtown Housing Corporation (CDHC). Most UFAS features were achieved; roll-in showers were not 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feasible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, so showers have benches/slide-in access.</w:t>
      </w:r>
    </w:p>
    <w:p xmlns:wp14="http://schemas.microsoft.com/office/word/2010/wordml" w:rsidP="6C442904" wp14:paraId="78B7003E" wp14:noSpellErr="1" wp14:textId="41196C5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Leasing strategy and subsidy: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The commission pays the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Howard Hughes voucher payment standards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on master-leased units; to avoid losses when subleasing to non-voucher households, CDHC agreed to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bridge subsidies up to two years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while residents transition into the Maryland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State voucher program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(5-year limit). The long-term goal is to transition households to federal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HCV/mainstream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funding as resources allow; no residents will be displaced due to funding gaps at the end of the state term.</w:t>
      </w:r>
    </w:p>
    <w:p xmlns:wp14="http://schemas.microsoft.com/office/word/2010/wordml" w:rsidP="6C442904" wp14:paraId="6FE0EB75" wp14:noSpellErr="1" wp14:textId="0408103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Availability: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As of the meeting,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three of the six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Marlow accessible units were leased, and applications were still being accepted.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Contact: Pedro Martins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(Housing Commission) for referrals and applications.</w:t>
      </w:r>
    </w:p>
    <w:p xmlns:wp14="http://schemas.microsoft.com/office/word/2010/wordml" w:rsidP="6C442904" wp14:paraId="6F1171DF" wp14:noSpellErr="1" wp14:textId="6CCFA58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Inclusive housing target: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The Commission intends that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10% of all new downtown affordable units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will be for people with disabilities, recognizing that the original 2016 downtown framework did not explicitly include this.</w:t>
      </w:r>
    </w:p>
    <w:p xmlns:wp14="http://schemas.microsoft.com/office/word/2010/wordml" w:rsidP="6C442904" wp14:paraId="2A25245E" wp14:noSpellErr="1" wp14:textId="2C60166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Artist Flats / Toby’s site: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The arts/theater redevelopment is underway (new theater and arts center first), with housing on top to follow;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housing completion is projected for 2029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, given the phasing.</w:t>
      </w:r>
    </w:p>
    <w:p xmlns:wp14="http://schemas.microsoft.com/office/word/2010/wordml" w:rsidP="6C442904" wp14:paraId="48D29421" wp14:noSpellErr="1" wp14:textId="3D8C338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Other downtown development: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Additional master-leased units are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anticipated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in future Howard Hughes projects; however,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Lakefront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work is delayed due to ongoing litigation among property owners, slowing timelines.</w:t>
      </w:r>
    </w:p>
    <w:p xmlns:wp14="http://schemas.microsoft.com/office/word/2010/wordml" w:rsidP="6C442904" wp14:paraId="29475261" wp14:noSpellErr="1" wp14:textId="6C5A86C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HCV waitlist status: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The HCV waitlist opened in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summer 2023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received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~16,000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applications;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3,500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were selected via lottery.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No draws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have been made yet due to a voucher funding shortfall. Disability is self-reported at application and verified if/when a household is drawn for processing.</w:t>
      </w:r>
    </w:p>
    <w:p xmlns:wp14="http://schemas.microsoft.com/office/word/2010/wordml" w:rsidP="6C442904" wp14:paraId="112E7E3C" wp14:noSpellErr="1" wp14:textId="049EAC9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Secondary contact/guardian: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Peter believes a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secondary contact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can be added for communications and recertification support, and he will confirm the current process and report back.</w:t>
      </w:r>
    </w:p>
    <w:p xmlns:wp14="http://schemas.microsoft.com/office/word/2010/wordml" w:rsidP="6C442904" wp14:paraId="0F131749" wp14:noSpellErr="1" wp14:textId="6B026BB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Nikki shared a client success story—her client moved into an accessible Marlow unit and is thriving.</w:t>
      </w:r>
    </w:p>
    <w:p xmlns:wp14="http://schemas.microsoft.com/office/word/2010/wordml" w:rsidP="2A6833C2" wp14:paraId="77F6EA73" wp14:noSpellErr="1" wp14:textId="3105DEF8">
      <w:pPr>
        <w:pStyle w:val="Normal"/>
        <w:spacing w:before="240" w:beforeAutospacing="off" w:after="240" w:afterAutospacing="off"/>
      </w:pPr>
      <w:r w:rsidRPr="2A6833C2" w:rsidR="4D9BB45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5) Horizon Foundation Updates (Sarah Hochbaum / Ahmna Khan)</w:t>
      </w:r>
    </w:p>
    <w:p xmlns:wp14="http://schemas.microsoft.com/office/word/2010/wordml" w:rsidP="6C442904" wp14:paraId="6AF12AD1" wp14:noSpellErr="1" wp14:textId="47C1A72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Sarah noted that MIH’s housing support work in Howard County continues, including connections to inclusive developments and services; 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2A6833C2" w:rsidR="4D9BB4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detail will be provided at a future meeting if needed.</w:t>
      </w:r>
    </w:p>
    <w:p xmlns:wp14="http://schemas.microsoft.com/office/word/2010/wordml" w:rsidP="2A6833C2" wp14:paraId="74F8547B" wp14:noSpellErr="1" wp14:textId="4C30B10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6) Communications Updates</w:t>
      </w:r>
      <w:r w:rsidRPr="2A6833C2" w:rsidR="5DADB66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2A6833C2" w:rsidR="4D9BB45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(Andy Krauss / Tia Bryant)</w:t>
      </w:r>
    </w:p>
    <w:p xmlns:wp14="http://schemas.microsoft.com/office/word/2010/wordml" w:rsidP="6C442904" wp14:paraId="2E64378A" wp14:noSpellErr="1" wp14:textId="495D4BF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MIH featured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Brian Sylvia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’s housing success story in Laurel (MIHU unit at The Vine; works at Harris Teeter at Maple Lawn).</w:t>
      </w:r>
    </w:p>
    <w:p xmlns:wp14="http://schemas.microsoft.com/office/word/2010/wordml" w:rsidP="6C442904" wp14:paraId="2E9B1B85" wp14:noSpellErr="1" wp14:textId="03FE448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The story was picked up by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WMAR Channel 2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approximately six weeks ago; Andy posted both MIH’s and WMAR’s links in the chat.</w:t>
      </w:r>
    </w:p>
    <w:p xmlns:wp14="http://schemas.microsoft.com/office/word/2010/wordml" w:rsidP="6C442904" wp14:paraId="7755E66B" wp14:noSpellErr="1" wp14:textId="6605771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MIH held its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fifth-anniversary celebration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drawing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nearly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100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attendees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raising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$15,000+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in sponsorships; the event highlighted MIH’s impact and partners.</w:t>
      </w:r>
    </w:p>
    <w:p xmlns:wp14="http://schemas.microsoft.com/office/word/2010/wordml" w:rsidP="2A6833C2" wp14:paraId="78A44512" wp14:noSpellErr="1" wp14:textId="17A0FCB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7) Patuxent Commons Updates</w:t>
      </w:r>
      <w:r w:rsidRPr="2A6833C2" w:rsidR="55B807E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2A6833C2" w:rsidR="4D9BB45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6833C2" w:rsidR="4D9BB456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(Mark Dunham)</w:t>
      </w:r>
    </w:p>
    <w:p xmlns:wp14="http://schemas.microsoft.com/office/word/2010/wordml" w:rsidP="6C442904" wp14:paraId="0E0C4679" wp14:noSpellErr="1" wp14:textId="4AA4373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The project received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~2,300 lottery registrants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for 76 units, confirming extraordinary demand for intentionally inclusive, affordable housing.</w:t>
      </w:r>
    </w:p>
    <w:p xmlns:wp14="http://schemas.microsoft.com/office/word/2010/wordml" w:rsidP="6C442904" wp14:paraId="0492245D" wp14:noSpellErr="1" wp14:textId="1D25DB8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Leasing and income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qualification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are underway through Columbus Property Management over the next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4–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6 weeks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xmlns:wp14="http://schemas.microsoft.com/office/word/2010/wordml" w:rsidP="6C442904" wp14:paraId="075FBCF2" wp14:noSpellErr="1" wp14:textId="20D2F48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The project expects a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Certificate of Occupancy by mid-October 2025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is planning a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ribbon-cutting in early to mid-November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(formal invite forthcoming).</w:t>
      </w:r>
    </w:p>
    <w:p xmlns:wp14="http://schemas.microsoft.com/office/word/2010/wordml" w:rsidP="6C442904" wp14:paraId="43B83C8D" wp14:noSpellErr="1" wp14:textId="6ACDE71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Recruitment is underway for the on-site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Community Life Coordinator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xmlns:wp14="http://schemas.microsoft.com/office/word/2010/wordml" w:rsidP="6C442904" wp14:paraId="2EACD85E" wp14:noSpellErr="1" wp14:textId="1F97FE4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Evaluation planning with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Johns Hopkins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continues, including pre-occupancy interviews.</w:t>
      </w:r>
    </w:p>
    <w:p xmlns:wp14="http://schemas.microsoft.com/office/word/2010/wordml" w:rsidP="6C442904" wp14:paraId="27CFDB27" wp14:noSpellErr="1" wp14:textId="473A950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County Executive Ball led a tour for elected officials; the strong turnout underscored the need to replicate the model both in Howard County and elsewhere.</w:t>
      </w:r>
    </w:p>
    <w:p xmlns:wp14="http://schemas.microsoft.com/office/word/2010/wordml" w:rsidP="2A6833C2" wp14:paraId="42B0AC30" wp14:noSpellErr="1" wp14:textId="09CA0894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8) Committee Member Updates</w:t>
      </w:r>
      <w:r w:rsidRPr="2A6833C2" w:rsidR="103F815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-</w:t>
      </w:r>
    </w:p>
    <w:p xmlns:wp14="http://schemas.microsoft.com/office/word/2010/wordml" w:rsidP="6C442904" wp14:paraId="1225017A" wp14:noSpellErr="1" wp14:textId="597B0BD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The Arc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Howard County / family members: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Dorothy and Matthew noted the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golf tournament at Waverly Woods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the following day.</w:t>
      </w:r>
    </w:p>
    <w:p xmlns:wp14="http://schemas.microsoft.com/office/word/2010/wordml" w:rsidP="6C442904" wp14:paraId="193C1AE3" wp14:noSpellErr="1" wp14:textId="33434DC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Humanim/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IHomes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(Patrick Lloyd):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Patrick introduced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IHomes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’ mission (serving residents at or below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30% AMI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) and noted active community development efforts in Howard County.</w:t>
      </w:r>
    </w:p>
    <w:p xmlns:wp14="http://schemas.microsoft.com/office/word/2010/wordml" w:rsidP="6C442904" wp14:paraId="729654B9" wp14:noSpellErr="1" wp14:textId="15BAA9E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Accessible Resources for Independence (Erin &amp; Nikki):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ARI reiterated willingness to partner on resident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supports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and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application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assistance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for people with disabilities.</w:t>
      </w:r>
    </w:p>
    <w:p xmlns:wp14="http://schemas.microsoft.com/office/word/2010/wordml" w:rsidP="2A6833C2" wp14:paraId="4678E1FF" wp14:noSpellErr="1" wp14:textId="50E5099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9) Next Meeting</w:t>
      </w:r>
    </w:p>
    <w:p xmlns:wp14="http://schemas.microsoft.com/office/word/2010/wordml" w:rsidP="6C442904" wp14:paraId="422E0D8B" wp14:noSpellErr="1" wp14:textId="273C7BF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The committee tentatively set the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next meeting for Thursday, November 13, 2025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(second Thursday).</w:t>
      </w:r>
    </w:p>
    <w:p xmlns:wp14="http://schemas.microsoft.com/office/word/2010/wordml" w:rsidP="6C442904" wp14:paraId="3557A90C" wp14:noSpellErr="1" wp14:textId="0127BFB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Mark flagged that the 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Patuxent Commons ribbon-cutting</w:t>
      </w:r>
      <w:r w:rsidRPr="2A6833C2" w:rsidR="4D9BB4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may fall close to that date; final timing will be shared, and the committee will adjust as needed.</w:t>
      </w:r>
    </w:p>
    <w:p xmlns:wp14="http://schemas.microsoft.com/office/word/2010/wordml" wp14:paraId="2C078E63" wp14:textId="649A0DD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2b6c62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a51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d54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be1c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7aa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3790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be8a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229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9b9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158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742d7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96e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0ea0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95168C"/>
    <w:rsid w:val="014B540C"/>
    <w:rsid w:val="04D62D00"/>
    <w:rsid w:val="0923027D"/>
    <w:rsid w:val="0A19AE78"/>
    <w:rsid w:val="103F8156"/>
    <w:rsid w:val="151F1D11"/>
    <w:rsid w:val="16F057CF"/>
    <w:rsid w:val="19A22411"/>
    <w:rsid w:val="23677EE5"/>
    <w:rsid w:val="26CD31ED"/>
    <w:rsid w:val="291C13BD"/>
    <w:rsid w:val="2A6833C2"/>
    <w:rsid w:val="3595168C"/>
    <w:rsid w:val="39E62A4E"/>
    <w:rsid w:val="49B9597D"/>
    <w:rsid w:val="4D9BB456"/>
    <w:rsid w:val="55B807EB"/>
    <w:rsid w:val="5880C42B"/>
    <w:rsid w:val="58CA8819"/>
    <w:rsid w:val="5DADB66A"/>
    <w:rsid w:val="60347AA2"/>
    <w:rsid w:val="6C442904"/>
    <w:rsid w:val="7894667F"/>
    <w:rsid w:val="7FD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168C"/>
  <w15:chartTrackingRefBased/>
  <w15:docId w15:val="{23E22F34-7DB4-4357-8922-645F95279D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C44290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C44290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641364212" /><Relationship Type="http://schemas.openxmlformats.org/officeDocument/2006/relationships/numbering" Target="numbering.xml" Id="R3415fb482d6743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ad024535f296928378c7b4e115f47c85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c9f200530b4316089b9ef44310db2d68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BB078-C921-4665-AF9D-208FF62E4961}"/>
</file>

<file path=customXml/itemProps2.xml><?xml version="1.0" encoding="utf-8"?>
<ds:datastoreItem xmlns:ds="http://schemas.openxmlformats.org/officeDocument/2006/customXml" ds:itemID="{5DA78923-90DD-449D-BF85-8C110C2F4189}"/>
</file>

<file path=customXml/itemProps3.xml><?xml version="1.0" encoding="utf-8"?>
<ds:datastoreItem xmlns:ds="http://schemas.openxmlformats.org/officeDocument/2006/customXml" ds:itemID="{871885D2-FCE3-4E09-8CC3-65EE8A1E5A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dcterms:created xsi:type="dcterms:W3CDTF">2025-11-12T03:30:55.0000000Z</dcterms:created>
  <dcterms:modified xsi:type="dcterms:W3CDTF">2025-11-12T03:41:47.2790975Z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