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BCC6" w14:textId="368893BE" w:rsidR="00704F21" w:rsidRDefault="43E56F81" w:rsidP="527F31B6">
      <w:pPr>
        <w:ind w:right="1008"/>
        <w:jc w:val="center"/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5424AD0F" wp14:editId="5358F7C7">
            <wp:extent cx="1828800" cy="1276350"/>
            <wp:effectExtent l="0" t="0" r="0" b="0"/>
            <wp:docPr id="19640632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06322" name="Picture 1964063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472B5" w14:textId="2BA56D51" w:rsidR="00704F21" w:rsidRDefault="43E56F81" w:rsidP="527F31B6">
      <w:pPr>
        <w:ind w:right="1008"/>
        <w:jc w:val="center"/>
        <w:rPr>
          <w:rFonts w:ascii="Aptos" w:eastAsia="Aptos" w:hAnsi="Aptos" w:cs="Aptos"/>
          <w:color w:val="000000" w:themeColor="text1"/>
          <w:sz w:val="32"/>
          <w:szCs w:val="32"/>
        </w:rPr>
      </w:pPr>
      <w:r w:rsidRPr="527F31B6"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>Eastern Shore Housing Committee Minutes</w:t>
      </w:r>
    </w:p>
    <w:p w14:paraId="3EF8CF17" w14:textId="69ED8F81" w:rsidR="00704F21" w:rsidRDefault="43E56F81" w:rsidP="527F31B6">
      <w:pPr>
        <w:ind w:right="1008"/>
        <w:jc w:val="center"/>
        <w:rPr>
          <w:rFonts w:ascii="Aptos" w:eastAsia="Aptos" w:hAnsi="Aptos" w:cs="Aptos"/>
          <w:color w:val="000000" w:themeColor="text1"/>
        </w:rPr>
      </w:pPr>
      <w:r w:rsidRPr="527F31B6">
        <w:rPr>
          <w:rFonts w:ascii="Aptos" w:eastAsia="Aptos" w:hAnsi="Aptos" w:cs="Aptos"/>
          <w:b/>
          <w:bCs/>
          <w:color w:val="000000" w:themeColor="text1"/>
        </w:rPr>
        <w:t>Monday February 9, 2026 at 3pm VIA ZOOM</w:t>
      </w:r>
    </w:p>
    <w:p w14:paraId="0F84DF81" w14:textId="53D357FA" w:rsidR="00704F21" w:rsidRDefault="00704F21" w:rsidP="7A1578ED">
      <w:pPr>
        <w:ind w:right="1008"/>
        <w:jc w:val="center"/>
        <w:rPr>
          <w:rFonts w:ascii="Aptos" w:eastAsia="Aptos" w:hAnsi="Aptos" w:cs="Aptos"/>
          <w:color w:val="000000" w:themeColor="text1"/>
        </w:rPr>
      </w:pPr>
    </w:p>
    <w:p w14:paraId="34848D27" w14:textId="6535B991" w:rsidR="00704F21" w:rsidRDefault="49B33EDF" w:rsidP="7A1578ED">
      <w:pPr>
        <w:pStyle w:val="Heading2"/>
        <w:spacing w:before="299" w:after="299"/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</w:pPr>
      <w:r w:rsidRPr="7A1578ED"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>1.) Welcome and Introduction of Committee Members</w:t>
      </w:r>
    </w:p>
    <w:p w14:paraId="68A7510D" w14:textId="31E48865" w:rsidR="00704F21" w:rsidRDefault="49B33EDF" w:rsidP="7A1578ED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Ahmna Khan welcomed attendees and opened the meeting. </w:t>
      </w:r>
    </w:p>
    <w:p w14:paraId="1F52E501" w14:textId="2A762E26" w:rsidR="00704F21" w:rsidRDefault="49B33EDF" w:rsidP="7A1578ED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Meeting minutes from December were shared; no objections were raised. </w:t>
      </w:r>
    </w:p>
    <w:p w14:paraId="1532DAE6" w14:textId="6CF713D6" w:rsidR="00704F21" w:rsidRDefault="49B33EDF" w:rsidP="7A1578ED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Attendees introduced themselves and their organizations, including representatives from Maryland Inclusive Housing, the Town of Easton, Fello, DDA, Providence of Maryland, and the Housing Commission of Talbot County. </w:t>
      </w:r>
    </w:p>
    <w:p w14:paraId="1635EDF0" w14:textId="02E207E6" w:rsidR="00704F21" w:rsidRDefault="00704F21" w:rsidP="7A1578ED">
      <w:pPr>
        <w:rPr>
          <w:color w:val="000000" w:themeColor="text1"/>
        </w:rPr>
      </w:pPr>
    </w:p>
    <w:p w14:paraId="5FD924F8" w14:textId="03A6A407" w:rsidR="00704F21" w:rsidRDefault="49B33EDF" w:rsidP="7A1578ED">
      <w:pPr>
        <w:pStyle w:val="Heading2"/>
        <w:spacing w:before="299" w:after="299"/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</w:pPr>
      <w:r w:rsidRPr="7A1578ED"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>2.) Introduction to Town of Easton – Andy Kitzrow, Town Manager</w:t>
      </w:r>
    </w:p>
    <w:p w14:paraId="1A812C0B" w14:textId="5BFD983F" w:rsidR="00704F21" w:rsidRDefault="49B33EDF" w:rsidP="7A1578ED">
      <w:pPr>
        <w:pStyle w:val="Heading3"/>
        <w:spacing w:before="281" w:after="281"/>
        <w:rPr>
          <w:rFonts w:ascii="Aptos" w:eastAsia="Aptos" w:hAnsi="Aptos" w:cs="Aptos"/>
          <w:b/>
          <w:bCs/>
          <w:color w:val="000000" w:themeColor="text1"/>
        </w:rPr>
      </w:pPr>
      <w:r w:rsidRPr="7A1578ED">
        <w:rPr>
          <w:rFonts w:ascii="Aptos" w:eastAsia="Aptos" w:hAnsi="Aptos" w:cs="Aptos"/>
          <w:b/>
          <w:bCs/>
          <w:color w:val="000000" w:themeColor="text1"/>
        </w:rPr>
        <w:t>A.) Housing Related Updates</w:t>
      </w:r>
    </w:p>
    <w:p w14:paraId="6BD9E05C" w14:textId="2118447D" w:rsidR="00704F21" w:rsidRDefault="49B33EDF" w:rsidP="7A1578ED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The Town of Easton shared that affordable housing remains a major challenge, with median home prices approaching $500,000. </w:t>
      </w:r>
    </w:p>
    <w:p w14:paraId="08B6BB7B" w14:textId="6C92F9CA" w:rsidR="00704F21" w:rsidRDefault="49B33EDF" w:rsidP="7A1578ED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An 18-member Attainable Housing Task Force met over the past year and a half and recently presented recommendations to Town Council. </w:t>
      </w:r>
    </w:p>
    <w:p w14:paraId="5B6D76A7" w14:textId="6E6DF337" w:rsidR="00704F21" w:rsidRDefault="49B33EDF" w:rsidP="7A1578ED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Key focus areas included: </w:t>
      </w:r>
    </w:p>
    <w:p w14:paraId="04060F09" w14:textId="73EE3539" w:rsidR="00704F21" w:rsidRDefault="49B33EDF" w:rsidP="7A1578ED">
      <w:pPr>
        <w:pStyle w:val="ListParagraph"/>
        <w:numPr>
          <w:ilvl w:val="1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Expanding community outreach and education around housing </w:t>
      </w:r>
    </w:p>
    <w:p w14:paraId="1ECE9163" w14:textId="53171860" w:rsidR="00704F21" w:rsidRDefault="49B33EDF" w:rsidP="7A1578ED">
      <w:pPr>
        <w:pStyle w:val="ListParagraph"/>
        <w:numPr>
          <w:ilvl w:val="1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Exploring developer incentives (tax abatements, density increases, fee reductions) </w:t>
      </w:r>
    </w:p>
    <w:p w14:paraId="1D7EB0C8" w14:textId="338C00B6" w:rsidR="00704F21" w:rsidRDefault="49B33EDF" w:rsidP="7A1578ED">
      <w:pPr>
        <w:pStyle w:val="ListParagraph"/>
        <w:numPr>
          <w:ilvl w:val="1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Identifying zoning barriers and pursuing zoning reforms </w:t>
      </w:r>
    </w:p>
    <w:p w14:paraId="4FB577B4" w14:textId="26CBCDFF" w:rsidR="00704F21" w:rsidRDefault="49B33EDF" w:rsidP="7A1578ED">
      <w:pPr>
        <w:pStyle w:val="ListParagraph"/>
        <w:numPr>
          <w:ilvl w:val="1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Considering inclusionary zoning policies </w:t>
      </w:r>
    </w:p>
    <w:p w14:paraId="4579B078" w14:textId="1F8B2164" w:rsidR="00704F21" w:rsidRDefault="49B33EDF" w:rsidP="7A1578ED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Potential zoning updates discussed included allowing junior accessory dwelling units (ADUs) and revisiting density restrictions that limit housing production. </w:t>
      </w:r>
    </w:p>
    <w:p w14:paraId="40D53364" w14:textId="108171C4" w:rsidR="00704F21" w:rsidRDefault="49B33EDF" w:rsidP="7A1578ED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The Town highlighted interest in partnerships and expressed openness to shaping policies collaboratively with organizations like MIH. </w:t>
      </w:r>
    </w:p>
    <w:p w14:paraId="4F37C2C7" w14:textId="52A77060" w:rsidR="00704F21" w:rsidRDefault="49B33EDF" w:rsidP="7A1578ED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Disability inclusion was not a central focus of the task force but was identified as an important gap and opportunity moving forward. </w:t>
      </w:r>
    </w:p>
    <w:p w14:paraId="63C4098E" w14:textId="384D063A" w:rsidR="00704F21" w:rsidRDefault="49B33EDF" w:rsidP="7A1578ED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Discussion emphasized: </w:t>
      </w:r>
    </w:p>
    <w:p w14:paraId="1E5CAE64" w14:textId="34ED268A" w:rsidR="00704F21" w:rsidRDefault="49B33EDF" w:rsidP="7A1578ED">
      <w:pPr>
        <w:pStyle w:val="ListParagraph"/>
        <w:numPr>
          <w:ilvl w:val="1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Need for integrated, mixed-income housing </w:t>
      </w:r>
    </w:p>
    <w:p w14:paraId="7F332C05" w14:textId="2C91BC32" w:rsidR="00704F21" w:rsidRDefault="49B33EDF" w:rsidP="7A1578ED">
      <w:pPr>
        <w:pStyle w:val="ListParagraph"/>
        <w:numPr>
          <w:ilvl w:val="1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Importance of affordability for individuals below 30% AMI </w:t>
      </w:r>
    </w:p>
    <w:p w14:paraId="7A3CC0E6" w14:textId="5D4A5A39" w:rsidR="00704F21" w:rsidRDefault="49B33EDF" w:rsidP="7A1578ED">
      <w:pPr>
        <w:pStyle w:val="ListParagraph"/>
        <w:numPr>
          <w:ilvl w:val="1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Reliance on vouchers and subsidies to make units accessible </w:t>
      </w:r>
    </w:p>
    <w:p w14:paraId="04F5E74A" w14:textId="57FABFA2" w:rsidR="00704F21" w:rsidRDefault="49B33EDF" w:rsidP="7A1578ED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Additional topics included: </w:t>
      </w:r>
    </w:p>
    <w:p w14:paraId="1F2C66CE" w14:textId="44E1BD8C" w:rsidR="00704F21" w:rsidRDefault="49B33EDF" w:rsidP="7A1578ED">
      <w:pPr>
        <w:pStyle w:val="ListParagraph"/>
        <w:numPr>
          <w:ilvl w:val="1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Universal design and accessibility in both housing units and surrounding infrastructure </w:t>
      </w:r>
    </w:p>
    <w:p w14:paraId="0E09C456" w14:textId="62F31426" w:rsidR="00704F21" w:rsidRDefault="49B33EDF" w:rsidP="7A1578ED">
      <w:pPr>
        <w:pStyle w:val="ListParagraph"/>
        <w:numPr>
          <w:ilvl w:val="1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Challenges with limited land availability and political appetite for new development </w:t>
      </w:r>
    </w:p>
    <w:p w14:paraId="7CFCA881" w14:textId="28487360" w:rsidR="00704F21" w:rsidRDefault="49B33EDF" w:rsidP="7A1578ED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The Town expressed interest in a follow-up, smaller working group to continue these discussions and explore actionable solutions. </w:t>
      </w:r>
    </w:p>
    <w:p w14:paraId="29950CEC" w14:textId="5DB92B50" w:rsidR="00704F21" w:rsidRDefault="00704F21" w:rsidP="7A1578ED">
      <w:pPr>
        <w:rPr>
          <w:color w:val="000000" w:themeColor="text1"/>
        </w:rPr>
      </w:pPr>
    </w:p>
    <w:p w14:paraId="1F6666E8" w14:textId="1162D43E" w:rsidR="00704F21" w:rsidRDefault="49B33EDF" w:rsidP="7A1578ED">
      <w:pPr>
        <w:pStyle w:val="Heading2"/>
        <w:spacing w:before="299" w:after="299"/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</w:pPr>
      <w:r w:rsidRPr="7A1578ED"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>3.) Family Advocate Introduction – Valerie Bradshaw</w:t>
      </w:r>
    </w:p>
    <w:p w14:paraId="14EC2A53" w14:textId="56D15515" w:rsidR="00704F21" w:rsidRDefault="49B33EDF" w:rsidP="7A1578ED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The scheduled family advocate was unable to attend the meeting. </w:t>
      </w:r>
    </w:p>
    <w:p w14:paraId="6DF93E65" w14:textId="254C831C" w:rsidR="00704F21" w:rsidRDefault="00704F21" w:rsidP="7A1578ED">
      <w:pPr>
        <w:rPr>
          <w:color w:val="000000" w:themeColor="text1"/>
        </w:rPr>
      </w:pPr>
    </w:p>
    <w:p w14:paraId="6C0FE66C" w14:textId="64A1ACD1" w:rsidR="00704F21" w:rsidRDefault="49B33EDF" w:rsidP="7A1578ED">
      <w:pPr>
        <w:pStyle w:val="Heading2"/>
        <w:spacing w:before="299" w:after="299"/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</w:pPr>
      <w:r w:rsidRPr="7A1578ED"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>4.) QAP Advocacy – Tim Wiens</w:t>
      </w:r>
    </w:p>
    <w:p w14:paraId="327D0D42" w14:textId="61047DA7" w:rsidR="00704F21" w:rsidRDefault="49B33EDF" w:rsidP="7A1578ED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MIH is advocating for changes to the Qualified Allocation Plan (QAP) for Low-Income Housing Tax Credits. </w:t>
      </w:r>
    </w:p>
    <w:p w14:paraId="45BBFA7E" w14:textId="5E060D78" w:rsidR="00704F21" w:rsidRDefault="49B33EDF" w:rsidP="7A1578ED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Primary recommendation is to increase the required set-aside from 15% (currently for homelessness) to 25%, inclusive of individuals with disabilities. </w:t>
      </w:r>
    </w:p>
    <w:p w14:paraId="65C2F7DD" w14:textId="4419EF13" w:rsidR="00704F21" w:rsidRDefault="49B33EDF" w:rsidP="7A1578ED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The final deadline to submit public comments is February 16, 2026. </w:t>
      </w:r>
    </w:p>
    <w:p w14:paraId="4F163B34" w14:textId="306D886E" w:rsidR="00704F21" w:rsidRDefault="49B33EDF" w:rsidP="7A1578ED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Committee members were encouraged to submit comments and utilize MIH’s drafted language to support advocacy efforts. </w:t>
      </w:r>
    </w:p>
    <w:p w14:paraId="12D34E41" w14:textId="55815CFE" w:rsidR="00704F21" w:rsidRDefault="00704F21" w:rsidP="7A1578ED">
      <w:pPr>
        <w:rPr>
          <w:color w:val="000000" w:themeColor="text1"/>
        </w:rPr>
      </w:pPr>
    </w:p>
    <w:p w14:paraId="44345FE8" w14:textId="1F0C1CCA" w:rsidR="00704F21" w:rsidRDefault="49B33EDF" w:rsidP="7A1578ED">
      <w:pPr>
        <w:pStyle w:val="Heading2"/>
        <w:spacing w:before="299" w:after="299"/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</w:pPr>
      <w:r w:rsidRPr="7A1578ED"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>5.) Advocacy Day Event De-brief – Andy Krauss</w:t>
      </w:r>
    </w:p>
    <w:p w14:paraId="1690ED4F" w14:textId="3FEE930A" w:rsidR="00704F21" w:rsidRDefault="49B33EDF" w:rsidP="7A1578ED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MIH hosted its first legislative lunch on January 28 in Annapolis. </w:t>
      </w:r>
    </w:p>
    <w:p w14:paraId="54AFB681" w14:textId="062BF875" w:rsidR="00704F21" w:rsidRDefault="49B33EDF" w:rsidP="7A1578ED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Approximately 30 attendees participated despite weather-related challenges. </w:t>
      </w:r>
    </w:p>
    <w:p w14:paraId="0986683B" w14:textId="3866302B" w:rsidR="00704F21" w:rsidRDefault="49B33EDF" w:rsidP="7A1578ED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Several legislators attended and spoke, helping increase MIH’s visibility and engagement at the state level. </w:t>
      </w:r>
    </w:p>
    <w:p w14:paraId="2671726A" w14:textId="3C9CDC40" w:rsidR="00704F21" w:rsidRDefault="49B33EDF" w:rsidP="7A1578ED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Key advocacy priorities highlighted included: </w:t>
      </w:r>
    </w:p>
    <w:p w14:paraId="2E28945F" w14:textId="22F91360" w:rsidR="00704F21" w:rsidRDefault="49B33EDF" w:rsidP="7A1578ED">
      <w:pPr>
        <w:pStyle w:val="ListParagraph"/>
        <w:numPr>
          <w:ilvl w:val="1"/>
          <w:numId w:val="3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Continued funding for the DDA rental subsidy program </w:t>
      </w:r>
    </w:p>
    <w:p w14:paraId="03B686F0" w14:textId="11D62F4A" w:rsidR="00704F21" w:rsidRDefault="49B33EDF" w:rsidP="7A1578ED">
      <w:pPr>
        <w:pStyle w:val="ListParagraph"/>
        <w:numPr>
          <w:ilvl w:val="1"/>
          <w:numId w:val="3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Strengthening protections against source-of-income discrimination </w:t>
      </w:r>
    </w:p>
    <w:p w14:paraId="5EDA525B" w14:textId="51EA44BB" w:rsidR="00704F21" w:rsidRDefault="49B33EDF" w:rsidP="7A1578ED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The event was considered a success and a strong foundation for future advocacy efforts. </w:t>
      </w:r>
    </w:p>
    <w:p w14:paraId="24383E38" w14:textId="3009A6EE" w:rsidR="00704F21" w:rsidRDefault="00704F21" w:rsidP="7A1578ED">
      <w:pPr>
        <w:rPr>
          <w:color w:val="000000" w:themeColor="text1"/>
        </w:rPr>
      </w:pPr>
    </w:p>
    <w:p w14:paraId="52804799" w14:textId="6A6CFBF7" w:rsidR="00704F21" w:rsidRDefault="49B33EDF" w:rsidP="7A1578ED">
      <w:pPr>
        <w:pStyle w:val="Heading2"/>
        <w:spacing w:before="299" w:after="299"/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</w:pPr>
      <w:r w:rsidRPr="7A1578ED"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>6.) Committee Member Updates</w:t>
      </w:r>
    </w:p>
    <w:p w14:paraId="5DE4AA3F" w14:textId="6A9A3EBF" w:rsidR="00704F21" w:rsidRDefault="49B33EDF" w:rsidP="7A1578ED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Members discussed ongoing challenges related to: </w:t>
      </w:r>
    </w:p>
    <w:p w14:paraId="6F9C5553" w14:textId="65B1B160" w:rsidR="00704F21" w:rsidRDefault="49B33EDF" w:rsidP="7A1578ED">
      <w:pPr>
        <w:pStyle w:val="ListParagraph"/>
        <w:numPr>
          <w:ilvl w:val="1"/>
          <w:numId w:val="2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Lack of housing options for individuals below 30% AMI </w:t>
      </w:r>
    </w:p>
    <w:p w14:paraId="5F51573B" w14:textId="639261C3" w:rsidR="00704F21" w:rsidRDefault="49B33EDF" w:rsidP="7A1578ED">
      <w:pPr>
        <w:pStyle w:val="ListParagraph"/>
        <w:numPr>
          <w:ilvl w:val="1"/>
          <w:numId w:val="2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Limited transitional housing opportunities in the region </w:t>
      </w:r>
    </w:p>
    <w:p w14:paraId="76777D34" w14:textId="2E3AE586" w:rsidR="00704F21" w:rsidRDefault="49B33EDF" w:rsidP="7A1578ED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Emphasis was placed on the need for: </w:t>
      </w:r>
    </w:p>
    <w:p w14:paraId="661479D7" w14:textId="7073E8E6" w:rsidR="00704F21" w:rsidRDefault="49B33EDF" w:rsidP="7A1578ED">
      <w:pPr>
        <w:pStyle w:val="ListParagraph"/>
        <w:numPr>
          <w:ilvl w:val="1"/>
          <w:numId w:val="2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Creative partnerships between local government, developers, and service providers </w:t>
      </w:r>
    </w:p>
    <w:p w14:paraId="1109C941" w14:textId="4993CDD4" w:rsidR="00704F21" w:rsidRDefault="49B33EDF" w:rsidP="7A1578ED">
      <w:pPr>
        <w:pStyle w:val="ListParagraph"/>
        <w:numPr>
          <w:ilvl w:val="1"/>
          <w:numId w:val="2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Increased access to vouchers and subsidies </w:t>
      </w:r>
    </w:p>
    <w:p w14:paraId="18229829" w14:textId="53A6A286" w:rsidR="00704F21" w:rsidRDefault="49B33EDF" w:rsidP="7A1578ED">
      <w:pPr>
        <w:pStyle w:val="ListParagraph"/>
        <w:numPr>
          <w:ilvl w:val="1"/>
          <w:numId w:val="2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 xml:space="preserve">Early involvement in planning and development processes </w:t>
      </w:r>
    </w:p>
    <w:p w14:paraId="3FFBE294" w14:textId="329CA739" w:rsidR="00704F21" w:rsidRDefault="00704F21" w:rsidP="7A1578ED">
      <w:pPr>
        <w:rPr>
          <w:color w:val="000000" w:themeColor="text1"/>
        </w:rPr>
      </w:pPr>
    </w:p>
    <w:p w14:paraId="221CFB12" w14:textId="272767D5" w:rsidR="00704F21" w:rsidRDefault="49B33EDF" w:rsidP="7A1578ED">
      <w:pPr>
        <w:pStyle w:val="Heading2"/>
        <w:spacing w:before="299" w:after="299"/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</w:pPr>
      <w:r w:rsidRPr="7A1578ED">
        <w:rPr>
          <w:rFonts w:ascii="Aptos" w:eastAsia="Aptos" w:hAnsi="Aptos" w:cs="Aptos"/>
          <w:b/>
          <w:bCs/>
          <w:color w:val="000000" w:themeColor="text1"/>
          <w:sz w:val="36"/>
          <w:szCs w:val="36"/>
        </w:rPr>
        <w:t>7.) Next Meeting</w:t>
      </w:r>
    </w:p>
    <w:p w14:paraId="09A93D2F" w14:textId="03473876" w:rsidR="00704F21" w:rsidRDefault="49B33EDF" w:rsidP="7A1578ED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7A1578ED">
        <w:rPr>
          <w:rFonts w:ascii="Aptos" w:eastAsia="Aptos" w:hAnsi="Aptos" w:cs="Aptos"/>
          <w:color w:val="000000" w:themeColor="text1"/>
        </w:rPr>
        <w:t>MIH will coordinate a follow-up meeting with Town of Easton leadership and key stakeholders to continue discussions.</w:t>
      </w:r>
    </w:p>
    <w:p w14:paraId="2C078E63" w14:textId="47A2FEBF" w:rsidR="00704F21" w:rsidRDefault="00704F21"/>
    <w:sectPr w:rsidR="00704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4AF4F"/>
    <w:multiLevelType w:val="hybridMultilevel"/>
    <w:tmpl w:val="89A87498"/>
    <w:lvl w:ilvl="0" w:tplc="59D6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2F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4C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AF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C4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4D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AB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02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AE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AF5B2"/>
    <w:multiLevelType w:val="hybridMultilevel"/>
    <w:tmpl w:val="1018C82E"/>
    <w:lvl w:ilvl="0" w:tplc="1DDCD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81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FAA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8F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E9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03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CA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0B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EE6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F1CA7"/>
    <w:multiLevelType w:val="hybridMultilevel"/>
    <w:tmpl w:val="CBB097F4"/>
    <w:lvl w:ilvl="0" w:tplc="184EB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C8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382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2F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62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89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06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27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44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5BD81"/>
    <w:multiLevelType w:val="hybridMultilevel"/>
    <w:tmpl w:val="B976692C"/>
    <w:lvl w:ilvl="0" w:tplc="1AF44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04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CB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67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2B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E2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A3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8C6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D4A82"/>
    <w:multiLevelType w:val="hybridMultilevel"/>
    <w:tmpl w:val="21868546"/>
    <w:lvl w:ilvl="0" w:tplc="4EC0A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9A0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A7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EE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C0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D46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2C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61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05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B2076"/>
    <w:multiLevelType w:val="hybridMultilevel"/>
    <w:tmpl w:val="E3B66358"/>
    <w:lvl w:ilvl="0" w:tplc="82100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E4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0B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65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E7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7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6C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A1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2E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346DE"/>
    <w:multiLevelType w:val="hybridMultilevel"/>
    <w:tmpl w:val="15303490"/>
    <w:lvl w:ilvl="0" w:tplc="EEB09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6A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6D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AB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29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28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40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AB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AAA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864510">
    <w:abstractNumId w:val="0"/>
  </w:num>
  <w:num w:numId="2" w16cid:durableId="2003847606">
    <w:abstractNumId w:val="1"/>
  </w:num>
  <w:num w:numId="3" w16cid:durableId="1805923616">
    <w:abstractNumId w:val="5"/>
  </w:num>
  <w:num w:numId="4" w16cid:durableId="130750714">
    <w:abstractNumId w:val="4"/>
  </w:num>
  <w:num w:numId="5" w16cid:durableId="1069963910">
    <w:abstractNumId w:val="2"/>
  </w:num>
  <w:num w:numId="6" w16cid:durableId="213394197">
    <w:abstractNumId w:val="6"/>
  </w:num>
  <w:num w:numId="7" w16cid:durableId="203713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97A423"/>
    <w:rsid w:val="0038322B"/>
    <w:rsid w:val="00704F21"/>
    <w:rsid w:val="00AD62E4"/>
    <w:rsid w:val="0797A423"/>
    <w:rsid w:val="43E56F81"/>
    <w:rsid w:val="49B33EDF"/>
    <w:rsid w:val="527F31B6"/>
    <w:rsid w:val="7A1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A423"/>
  <w15:chartTrackingRefBased/>
  <w15:docId w15:val="{7BDF400C-726E-472D-91B0-B5214E1C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7A157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7A157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7A157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2f4f-888a-43e0-a07a-4ee15651f285" xsi:nil="true"/>
    <lcf76f155ced4ddcb4097134ff3c332f xmlns="e27636ee-91d0-4677-b500-5076c7b643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A988566DE3D4DBCECCD0053E0F526" ma:contentTypeVersion="18" ma:contentTypeDescription="Create a new document." ma:contentTypeScope="" ma:versionID="7d20155116b99bd3ceec21f8087805c9">
  <xsd:schema xmlns:xsd="http://www.w3.org/2001/XMLSchema" xmlns:xs="http://www.w3.org/2001/XMLSchema" xmlns:p="http://schemas.microsoft.com/office/2006/metadata/properties" xmlns:ns2="e27636ee-91d0-4677-b500-5076c7b64375" xmlns:ns3="94312f4f-888a-43e0-a07a-4ee15651f285" targetNamespace="http://schemas.microsoft.com/office/2006/metadata/properties" ma:root="true" ma:fieldsID="fb391c7fa053e793f4a654ab932dcbef" ns2:_="" ns3:_="">
    <xsd:import namespace="e27636ee-91d0-4677-b500-5076c7b64375"/>
    <xsd:import namespace="94312f4f-888a-43e0-a07a-4ee15651f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36ee-91d0-4677-b500-5076c7b64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8a1984-bd79-4f38-a72b-1cd435ed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2f4f-888a-43e0-a07a-4ee15651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b79bc-1529-4f28-a7c2-6e67f80bab06}" ma:internalName="TaxCatchAll" ma:showField="CatchAllData" ma:web="94312f4f-888a-43e0-a07a-4ee15651f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D3DB2-D8C6-44B0-B2B9-6B903A022E32}">
  <ds:schemaRefs>
    <ds:schemaRef ds:uri="http://schemas.microsoft.com/office/2006/metadata/properties"/>
    <ds:schemaRef ds:uri="http://schemas.microsoft.com/office/infopath/2007/PartnerControls"/>
    <ds:schemaRef ds:uri="94312f4f-888a-43e0-a07a-4ee15651f285"/>
    <ds:schemaRef ds:uri="e27636ee-91d0-4677-b500-5076c7b64375"/>
  </ds:schemaRefs>
</ds:datastoreItem>
</file>

<file path=customXml/itemProps2.xml><?xml version="1.0" encoding="utf-8"?>
<ds:datastoreItem xmlns:ds="http://schemas.openxmlformats.org/officeDocument/2006/customXml" ds:itemID="{59C7E713-B0C4-44C1-840C-255BCD7BC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76E70-6AE1-4627-8309-E9F2E3806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636ee-91d0-4677-b500-5076c7b64375"/>
    <ds:schemaRef ds:uri="94312f4f-888a-43e0-a07a-4ee15651f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3192</Characters>
  <Application>Microsoft Office Word</Application>
  <DocSecurity>0</DocSecurity>
  <Lines>55</Lines>
  <Paragraphs>11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Ahmna Khan</dc:creator>
  <cp:keywords/>
  <dc:description/>
  <cp:lastModifiedBy>Andy Krauss</cp:lastModifiedBy>
  <cp:revision>2</cp:revision>
  <dcterms:created xsi:type="dcterms:W3CDTF">2026-04-12T21:45:00Z</dcterms:created>
  <dcterms:modified xsi:type="dcterms:W3CDTF">2026-04-21T15:24:00Z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0x010100B54A988566DE3D4DBCECCD0053E0F526</vt:lpwstr>
  </property>
  <property fmtid="{D5CDD505-2E9C-101B-9397-08002B2CF9AE}" pid="3" name="MediaServiceImageTags">
    <vt:lpwstr/>
  </property>
</Properties>
</file>